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74049D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74049D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Černuc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Černuc 17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23 Černuc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00234257</w:t>
            </w:r>
          </w:p>
          <w:p w:rsidR="00741A4B" w:rsidRPr="008F1785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5fiajx9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DB1B49" w:rsidRPr="008F1785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</w:tr>
      <w:tr w:rsidR="00B21D7F" w:rsidRPr="008F1785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6512E5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E339FF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Obecní úřad Černuc</w:t>
            </w:r>
          </w:p>
        </w:tc>
      </w:tr>
      <w:tr w:rsidR="00B21D7F" w:rsidRPr="008F1785" w:rsidTr="0074049D">
        <w:trPr>
          <w:trHeight w:val="510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B21D7F" w:rsidRDefault="00E339FF" w:rsidP="00C258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</w:tc>
      </w:tr>
      <w:tr w:rsidR="00417C63" w:rsidRPr="002216AE" w:rsidTr="0074049D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Radek Moulis</w:t>
            </w:r>
          </w:p>
          <w:p w:rsidR="00E339F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606 452 510</w:t>
            </w:r>
          </w:p>
          <w:p w:rsidR="00DB1B49" w:rsidRPr="00C2589F" w:rsidRDefault="00E339FF" w:rsidP="00E33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poverenec@email.cz</w:t>
            </w:r>
            <w:r w:rsidRPr="00C2589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DB1B49" w:rsidP="0084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F62" w:rsidRPr="00210F2B" w:rsidTr="0074049D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331DBE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Personální agenda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6512E5" w:rsidRDefault="006512E5" w:rsidP="00642F39">
            <w:pPr>
              <w:ind w:left="28" w:right="288"/>
              <w:jc w:val="both"/>
            </w:pPr>
            <w:r>
              <w:t xml:space="preserve">Subjektem údajů je </w:t>
            </w:r>
            <w:r w:rsidR="00BD7B66">
              <w:t xml:space="preserve">zaměstnanec </w:t>
            </w:r>
            <w:r w:rsidR="00BC5739">
              <w:t>obce</w:t>
            </w:r>
            <w:r w:rsidR="00BD7B66">
              <w:t xml:space="preserve">, kterého se </w:t>
            </w:r>
            <w:r w:rsidR="00331DBE">
              <w:t>z</w:t>
            </w:r>
            <w:r w:rsidR="00BD7B66">
              <w:t>pracovávané osobní údaje týkají.</w:t>
            </w:r>
          </w:p>
          <w:p w:rsidR="00E75B40" w:rsidRPr="00E75B40" w:rsidRDefault="00E75B40" w:rsidP="006F19B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5352DC" w:rsidRDefault="00E75B40" w:rsidP="005352D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D7B66" w:rsidRDefault="00BC5739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starostka</w:t>
            </w:r>
          </w:p>
          <w:p w:rsidR="00BD7B66" w:rsidRDefault="00BC5739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účetní obce</w:t>
            </w:r>
          </w:p>
          <w:p w:rsidR="00BD7B66" w:rsidRPr="00A8193D" w:rsidRDefault="00BC5739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osoba, která zajišťuje správu informačního systému MUNIS, který obsahuje osobní údaje</w:t>
            </w:r>
          </w:p>
          <w:p w:rsidR="00E75B40" w:rsidRPr="00A8193D" w:rsidRDefault="00E75B40" w:rsidP="00BE0265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5B40" w:rsidRPr="005B5ABD" w:rsidRDefault="00E75B40" w:rsidP="006144F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:rsidR="00E23349" w:rsidRPr="00633D6D" w:rsidRDefault="00E23349" w:rsidP="00E23349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633D6D">
              <w:rPr>
                <w:rFonts w:ascii="Tahoma" w:hAnsi="Tahoma" w:cs="Tahoma"/>
                <w:i/>
                <w:sz w:val="20"/>
                <w:szCs w:val="20"/>
              </w:rPr>
              <w:t xml:space="preserve">osobní údaje jsou poskytovány pouze na základě oprávnění stanovených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zvláštními </w:t>
            </w:r>
            <w:r w:rsidRPr="00633D6D">
              <w:rPr>
                <w:rFonts w:ascii="Tahoma" w:hAnsi="Tahoma" w:cs="Tahoma"/>
                <w:i/>
                <w:sz w:val="20"/>
                <w:szCs w:val="20"/>
              </w:rPr>
              <w:t>právními předpisy</w:t>
            </w:r>
          </w:p>
          <w:p w:rsidR="00814EB2" w:rsidRPr="006F19B6" w:rsidRDefault="00814EB2" w:rsidP="00E23349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BC5739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BE0265" w:rsidP="00200C8E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663DD9" w:rsidRDefault="000878CA" w:rsidP="009C2670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5352DC" w:rsidRPr="00BE0265" w:rsidRDefault="00AF0C95" w:rsidP="00BD7B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1C6D">
              <w:rPr>
                <w:rFonts w:ascii="Tahoma" w:hAnsi="Tahoma" w:cs="Tahoma"/>
                <w:i/>
                <w:sz w:val="20"/>
                <w:szCs w:val="20"/>
              </w:rPr>
              <w:t>Osobní údaje jsou zpracovávány pouze za účelem vedení personální dokumentace zaměstnanců jako souboru dokumentů odpovídajících právním normám 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631C6D">
              <w:rPr>
                <w:rFonts w:ascii="Tahoma" w:hAnsi="Tahoma" w:cs="Tahoma"/>
                <w:i/>
                <w:sz w:val="20"/>
                <w:szCs w:val="20"/>
              </w:rPr>
              <w:t>zaznamenávajících průběh a výsledky jednotlivých personálních činností. O rozsahu 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631C6D"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>
              <w:rPr>
                <w:rFonts w:ascii="Tahoma" w:hAnsi="Tahoma" w:cs="Tahoma"/>
                <w:i/>
                <w:sz w:val="20"/>
                <w:szCs w:val="20"/>
              </w:rPr>
              <w:t>ru</w:t>
            </w:r>
            <w:r w:rsidRPr="00631C6D">
              <w:rPr>
                <w:rFonts w:ascii="Tahoma" w:hAnsi="Tahoma" w:cs="Tahoma"/>
                <w:i/>
                <w:sz w:val="20"/>
                <w:szCs w:val="20"/>
              </w:rPr>
              <w:t>hu materiálů v personální evidenci rozhoduje zaměstnavatel podle uvážení 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631C6D">
              <w:rPr>
                <w:rFonts w:ascii="Tahoma" w:hAnsi="Tahoma" w:cs="Tahoma"/>
                <w:i/>
                <w:sz w:val="20"/>
                <w:szCs w:val="20"/>
              </w:rPr>
              <w:t>s ohledem na své zákonné povinnosti. Personální dokumentace obsahuje jen dokumenty, které jsou nezbytné pro výkon práce v pracovněprávním vztahu (§ 312 zákona č. 262/2006 Sb.). Jedná se zejména o agendy u uzavřených pracovních poměrů zaměstnanců, založených pracovní smlouvou, popř. jmenováním. Dále jsou zpracovány osobní údaje osob, se kterými jsou uzavírány právní vztahy založené dohodami o pracích konaných mimo pracovní poměr (dohody o provedení práce, dohody o pracovní činnosti).  Osobní údaje jsou zpracovávány za účelem zabezpečení všech procedurálních záležitostí v rámci výkonu personální agendy.</w:t>
            </w: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BC57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36D36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7B66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C75A0F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BD7B66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7B66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75A0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stav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číslo řidičského průkazu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zdravotní pojišťovna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vzdělání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druh a výše důchodu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bezúhonnosti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podpis 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jméno a příjmení rodinných příslušníků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datum narození a rodná čísla rodinných příslušníků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srážky na základě soudního rozhodnutí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nejvyšším dosaženém vzdělání úředníka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datum nástupu do zaměstnání a ukončení zaměstnání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údaje o platu a odměnách 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hodnocení zaměstnance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zvláštních oprávněních či způsobilostech</w:t>
            </w:r>
          </w:p>
          <w:p w:rsidR="00C75A0F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dalším vzdělávání</w:t>
            </w:r>
          </w:p>
          <w:p w:rsidR="00BD7B66" w:rsidRPr="003009E7" w:rsidRDefault="00C75A0F" w:rsidP="00C75A0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údaje o udělení souhlasu k vykonávání jiné výdělečné činnosti úředníka</w:t>
            </w: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BC5739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0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0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BC573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BC5739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0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C75A0F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</w:t>
            </w:r>
            <w:r w:rsidRPr="00486754">
              <w:rPr>
                <w:rFonts w:ascii="Tahoma" w:hAnsi="Tahoma" w:cs="Tahoma"/>
                <w:i/>
                <w:sz w:val="20"/>
                <w:szCs w:val="20"/>
              </w:rPr>
              <w:t xml:space="preserve">vidence pouze pro posouzení k možnosti okamžitého zrušení pracovního poměru dle </w:t>
            </w:r>
            <w:proofErr w:type="spellStart"/>
            <w:r w:rsidRPr="00486754">
              <w:rPr>
                <w:rFonts w:ascii="Tahoma" w:hAnsi="Tahoma" w:cs="Tahoma"/>
                <w:i/>
                <w:sz w:val="20"/>
                <w:szCs w:val="20"/>
              </w:rPr>
              <w:t>ust</w:t>
            </w:r>
            <w:proofErr w:type="spellEnd"/>
            <w:r w:rsidRPr="00486754">
              <w:rPr>
                <w:rFonts w:ascii="Tahoma" w:hAnsi="Tahoma" w:cs="Tahoma"/>
                <w:i/>
                <w:sz w:val="20"/>
                <w:szCs w:val="20"/>
              </w:rPr>
              <w:t>. § 55 odst. 1 písm. a) zákona č. 262/2006 Sb., zákoník práce</w:t>
            </w: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BC5739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BC5739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BC573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6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BC573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zákon č. 262/2006 Sb., zákoník práce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zákon č. 435/2004 Sb., zákon o zaměstnanosti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 xml:space="preserve">zákon č. 312/2002 Sb., zákon o úřednících územních samosprávných celků a o změně některých dalších zákonů </w:t>
            </w:r>
          </w:p>
          <w:p w:rsidR="000145EE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nařízení vlády č. 341/2017 Sb., o platových poměrech zaměstnanců ve veřejných službách a správě</w:t>
            </w:r>
          </w:p>
          <w:p w:rsidR="00D62B6E" w:rsidRPr="00BE0F16" w:rsidRDefault="00D62B6E" w:rsidP="00D62B6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vyhláška č. 537/2006 Sb. o očkování proti infekčním nemocem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zákon č. 128/2000 Sb., zákon o obcích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zákon č. 101/2000 Sb., zákon o ochraně osobních údajů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zákon č. 586/1992 Sb., zákon o daních z příjmů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 xml:space="preserve">zákon č. 155/1995 Sb., zákon o důchodovém pojištění </w:t>
            </w:r>
          </w:p>
          <w:p w:rsidR="000145EE" w:rsidRPr="00E471BC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zákon č. 499/2004 Sb., zákon o archivnictví a spisové službě</w:t>
            </w:r>
          </w:p>
          <w:p w:rsidR="000145EE" w:rsidRDefault="000145EE" w:rsidP="000145EE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E471BC">
              <w:rPr>
                <w:rFonts w:ascii="Tahoma" w:hAnsi="Tahoma" w:cs="Tahoma"/>
                <w:i/>
                <w:sz w:val="20"/>
                <w:szCs w:val="20"/>
              </w:rPr>
              <w:t>vyhláška č. 259/2012 Sb., vyhláška o podrobnostech výkonu spisové služby</w:t>
            </w:r>
          </w:p>
          <w:p w:rsidR="00A739F6" w:rsidRPr="000145EE" w:rsidRDefault="000145EE" w:rsidP="00BC5739">
            <w:pPr>
              <w:pStyle w:val="Odstavecseseznamem"/>
              <w:numPr>
                <w:ilvl w:val="0"/>
                <w:numId w:val="7"/>
              </w:numPr>
              <w:ind w:left="322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0145EE">
              <w:rPr>
                <w:rFonts w:ascii="Tahoma" w:hAnsi="Tahoma" w:cs="Tahoma"/>
                <w:i/>
                <w:sz w:val="20"/>
                <w:szCs w:val="20"/>
              </w:rPr>
              <w:t xml:space="preserve">spisový a skartační řád </w:t>
            </w:r>
            <w:r w:rsidR="00BC5739">
              <w:rPr>
                <w:rFonts w:ascii="Tahoma" w:hAnsi="Tahoma" w:cs="Tahoma"/>
                <w:i/>
                <w:sz w:val="20"/>
                <w:szCs w:val="20"/>
              </w:rPr>
              <w:t>obce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BC573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BC573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BC5739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0916C7" w:rsidRDefault="00C01705" w:rsidP="000916C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Nemá-li zaměstnavatel k dispozici veškeré osobní údaje uchazeče, popř. zaměstnance, dojde tím k nedodržení a neplnění zákonných povinností zaměstnavatele.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0916C7" w:rsidRPr="00BD7B66" w:rsidRDefault="00BD7B66" w:rsidP="00BC5739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0916C7">
              <w:rPr>
                <w:rFonts w:ascii="Tahoma" w:hAnsi="Tahoma" w:cs="Tahoma"/>
                <w:sz w:val="20"/>
                <w:szCs w:val="20"/>
              </w:rPr>
              <w:t xml:space="preserve"> modul </w:t>
            </w:r>
            <w:r w:rsidR="00BC5739">
              <w:rPr>
                <w:rFonts w:ascii="Tahoma" w:hAnsi="Tahoma" w:cs="Tahoma"/>
                <w:sz w:val="20"/>
                <w:szCs w:val="20"/>
              </w:rPr>
              <w:t>ERMS</w:t>
            </w:r>
            <w:r w:rsidR="000916C7">
              <w:rPr>
                <w:rFonts w:ascii="Tahoma" w:hAnsi="Tahoma" w:cs="Tahoma"/>
                <w:sz w:val="20"/>
                <w:szCs w:val="20"/>
              </w:rPr>
              <w:t xml:space="preserve"> informačního systému MUNIS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3F00E3" w:rsidP="00BC5739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3F00E3">
              <w:rPr>
                <w:rFonts w:ascii="Tahoma" w:hAnsi="Tahoma" w:cs="Tahoma"/>
                <w:sz w:val="20"/>
                <w:szCs w:val="20"/>
              </w:rPr>
              <w:t xml:space="preserve">uložena </w:t>
            </w:r>
            <w:r w:rsidR="00BC5739">
              <w:rPr>
                <w:rFonts w:ascii="Tahoma" w:hAnsi="Tahoma" w:cs="Tahoma"/>
                <w:sz w:val="20"/>
                <w:szCs w:val="20"/>
              </w:rPr>
              <w:t>v osobním spisu zaměstnance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C61D3C" w:rsidRDefault="005D6544" w:rsidP="000916C7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BC5739" w:rsidRDefault="00BC5739" w:rsidP="00977AF1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>Pracovní poměr</w:t>
            </w:r>
          </w:p>
          <w:p w:rsidR="00BC5739" w:rsidRPr="00C44E33" w:rsidRDefault="00BC5739" w:rsidP="00BC5739">
            <w:pPr>
              <w:pStyle w:val="Default"/>
              <w:rPr>
                <w:sz w:val="22"/>
                <w:szCs w:val="22"/>
              </w:rPr>
            </w:pPr>
            <w:r w:rsidRPr="00C44E33">
              <w:rPr>
                <w:sz w:val="22"/>
                <w:szCs w:val="22"/>
              </w:rPr>
              <w:t xml:space="preserve">118.1 Osobní spisy (zejména: pracovní smlouva, funkční zařazení, jmenování, platový výměr, osobní dotazník, doklady o školení a zdravotní způsobilosti, pracovní hodnocení, pracovní náplň, propouštěcí listy, uvolnění do veřejných funkcí) </w:t>
            </w:r>
            <w:r>
              <w:rPr>
                <w:sz w:val="22"/>
                <w:szCs w:val="22"/>
              </w:rPr>
              <w:t xml:space="preserve">- </w:t>
            </w:r>
            <w:r w:rsidRPr="00C44E33">
              <w:rPr>
                <w:sz w:val="22"/>
                <w:szCs w:val="22"/>
              </w:rPr>
              <w:t>S/50</w:t>
            </w:r>
          </w:p>
          <w:p w:rsidR="00977AF1" w:rsidRDefault="00977AF1" w:rsidP="00977AF1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  <w:p w:rsidR="00977AF1" w:rsidRPr="00977AF1" w:rsidRDefault="00977AF1" w:rsidP="00977AF1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977AF1">
              <w:rPr>
                <w:rFonts w:ascii="Calibri" w:eastAsia="Calibri" w:hAnsi="Calibri" w:cs="Calibri"/>
                <w:color w:val="000000"/>
                <w:lang w:eastAsia="en-US"/>
              </w:rPr>
              <w:t>118.</w:t>
            </w:r>
            <w:r w:rsidR="00BC5739">
              <w:rPr>
                <w:rFonts w:ascii="Calibri" w:eastAsia="Calibri" w:hAnsi="Calibri" w:cs="Calibri"/>
                <w:color w:val="000000"/>
                <w:lang w:eastAsia="en-US"/>
              </w:rPr>
              <w:t>4</w:t>
            </w:r>
            <w:r w:rsidRPr="00977AF1">
              <w:rPr>
                <w:rFonts w:ascii="Calibri" w:eastAsia="Calibri" w:hAnsi="Calibri" w:cs="Calibri"/>
                <w:color w:val="000000"/>
                <w:lang w:eastAsia="en-US"/>
              </w:rPr>
              <w:t xml:space="preserve"> Vedlejší činnost, dohody o provedení práce, dohody o pracovní činnosti</w:t>
            </w:r>
            <w:r w:rsidR="00BC5739">
              <w:rPr>
                <w:rFonts w:ascii="Calibri" w:eastAsia="Calibri" w:hAnsi="Calibri" w:cs="Calibri"/>
                <w:color w:val="000000"/>
                <w:lang w:eastAsia="en-US"/>
              </w:rPr>
              <w:t xml:space="preserve"> - </w:t>
            </w:r>
            <w:r w:rsidRPr="00977AF1">
              <w:rPr>
                <w:rFonts w:ascii="Calibri" w:eastAsia="Calibri" w:hAnsi="Calibri" w:cs="Calibri"/>
                <w:color w:val="000000"/>
                <w:lang w:eastAsia="en-US"/>
              </w:rPr>
              <w:t>S/5</w:t>
            </w:r>
          </w:p>
          <w:p w:rsidR="00977AF1" w:rsidRPr="00977AF1" w:rsidRDefault="00977AF1" w:rsidP="00977AF1">
            <w:pPr>
              <w:ind w:firstLine="284"/>
              <w:contextualSpacing/>
              <w:jc w:val="both"/>
              <w:rPr>
                <w:rFonts w:ascii="Calibri" w:eastAsia="Calibri" w:hAnsi="Calibri" w:cs="Calibri"/>
                <w:color w:val="00000A"/>
                <w:lang w:eastAsia="en-US"/>
              </w:rPr>
            </w:pPr>
          </w:p>
          <w:p w:rsidR="00D01592" w:rsidRPr="00895AC0" w:rsidRDefault="00D01592" w:rsidP="00977AF1">
            <w:pPr>
              <w:tabs>
                <w:tab w:val="right" w:pos="5376"/>
              </w:tabs>
              <w:ind w:left="6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8B4B8F" w:rsidRPr="00BC5739" w:rsidRDefault="008B4B8F" w:rsidP="00BC5739">
            <w:pPr>
              <w:spacing w:before="120" w:after="120"/>
              <w:ind w:left="63"/>
              <w:rPr>
                <w:rFonts w:cstheme="minorHAnsi"/>
                <w:sz w:val="20"/>
                <w:szCs w:val="20"/>
              </w:rPr>
            </w:pPr>
            <w:r w:rsidRPr="00BC5739">
              <w:rPr>
                <w:rFonts w:cstheme="minorHAnsi"/>
                <w:szCs w:val="20"/>
              </w:rPr>
              <w:t xml:space="preserve">Osobní údaje nejsou v modulu </w:t>
            </w:r>
            <w:r w:rsidR="00BC5739" w:rsidRPr="00BC5739">
              <w:rPr>
                <w:rFonts w:cstheme="minorHAnsi"/>
                <w:szCs w:val="20"/>
              </w:rPr>
              <w:t>ERMS IS MUNIS</w:t>
            </w:r>
            <w:r w:rsidRPr="00BC5739">
              <w:rPr>
                <w:rFonts w:cstheme="minorHAnsi"/>
                <w:szCs w:val="20"/>
              </w:rPr>
              <w:t xml:space="preserve"> po ukončení skartační lhůty komukoliv k dispozici.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AB3C72" w:rsidRPr="00C0688E" w:rsidRDefault="000C0E5F" w:rsidP="00BC5739">
            <w:pPr>
              <w:ind w:left="63" w:right="146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uložení Státnímu okresnímu archivu v Kladno, nebo jsou fyzicky zlikvidovány smluvně zajištěnou firmou.</w:t>
            </w: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137C02">
        <w:t>1</w:t>
      </w:r>
      <w:r w:rsidR="00BC5739">
        <w:t>2</w:t>
      </w:r>
      <w:r w:rsidR="00137C02">
        <w:t xml:space="preserve">. </w:t>
      </w:r>
      <w:r w:rsidR="00BC5739">
        <w:t>09. 2021</w:t>
      </w:r>
    </w:p>
    <w:p w:rsidR="009C32AF" w:rsidRPr="008F1785" w:rsidRDefault="00467E3C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</w:r>
      <w:bookmarkStart w:id="0" w:name="_GoBack"/>
      <w:bookmarkEnd w:id="0"/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7A8C"/>
    <w:rsid w:val="0001007E"/>
    <w:rsid w:val="000135E6"/>
    <w:rsid w:val="00014339"/>
    <w:rsid w:val="000145EE"/>
    <w:rsid w:val="00033017"/>
    <w:rsid w:val="00043452"/>
    <w:rsid w:val="00066A13"/>
    <w:rsid w:val="000711A4"/>
    <w:rsid w:val="00081814"/>
    <w:rsid w:val="000878CA"/>
    <w:rsid w:val="000916C7"/>
    <w:rsid w:val="000A0C51"/>
    <w:rsid w:val="000B002D"/>
    <w:rsid w:val="000B3D2D"/>
    <w:rsid w:val="000C0E5F"/>
    <w:rsid w:val="000C78B3"/>
    <w:rsid w:val="000E07DD"/>
    <w:rsid w:val="000E5BA5"/>
    <w:rsid w:val="000F1579"/>
    <w:rsid w:val="001031FA"/>
    <w:rsid w:val="00110FE3"/>
    <w:rsid w:val="00120BF4"/>
    <w:rsid w:val="0012648B"/>
    <w:rsid w:val="001305FC"/>
    <w:rsid w:val="00137C02"/>
    <w:rsid w:val="001515BA"/>
    <w:rsid w:val="0015508C"/>
    <w:rsid w:val="00161696"/>
    <w:rsid w:val="00161F28"/>
    <w:rsid w:val="0018004C"/>
    <w:rsid w:val="001F4591"/>
    <w:rsid w:val="001F50CA"/>
    <w:rsid w:val="00200C8E"/>
    <w:rsid w:val="002044D3"/>
    <w:rsid w:val="00204F73"/>
    <w:rsid w:val="002103B1"/>
    <w:rsid w:val="00210F2B"/>
    <w:rsid w:val="002216AE"/>
    <w:rsid w:val="00221931"/>
    <w:rsid w:val="00245231"/>
    <w:rsid w:val="0025242F"/>
    <w:rsid w:val="00256608"/>
    <w:rsid w:val="002704DF"/>
    <w:rsid w:val="002B30DD"/>
    <w:rsid w:val="002B32C2"/>
    <w:rsid w:val="002C4F0F"/>
    <w:rsid w:val="002E0BE3"/>
    <w:rsid w:val="002E1BA0"/>
    <w:rsid w:val="003009E7"/>
    <w:rsid w:val="003026F7"/>
    <w:rsid w:val="003271AC"/>
    <w:rsid w:val="003317ED"/>
    <w:rsid w:val="00331DBE"/>
    <w:rsid w:val="003324E9"/>
    <w:rsid w:val="003408A1"/>
    <w:rsid w:val="003516EF"/>
    <w:rsid w:val="00354D7D"/>
    <w:rsid w:val="003957D4"/>
    <w:rsid w:val="003A559E"/>
    <w:rsid w:val="003B2882"/>
    <w:rsid w:val="003B656D"/>
    <w:rsid w:val="003D3A0D"/>
    <w:rsid w:val="003E2592"/>
    <w:rsid w:val="003E2B03"/>
    <w:rsid w:val="003E635B"/>
    <w:rsid w:val="003F00E3"/>
    <w:rsid w:val="003F46BC"/>
    <w:rsid w:val="003F5872"/>
    <w:rsid w:val="00402E84"/>
    <w:rsid w:val="00417C63"/>
    <w:rsid w:val="00427D1F"/>
    <w:rsid w:val="00431085"/>
    <w:rsid w:val="004417CA"/>
    <w:rsid w:val="004512B0"/>
    <w:rsid w:val="00452011"/>
    <w:rsid w:val="004672FB"/>
    <w:rsid w:val="00467E3C"/>
    <w:rsid w:val="004A5E34"/>
    <w:rsid w:val="004D15E8"/>
    <w:rsid w:val="004E04CD"/>
    <w:rsid w:val="004E1C8A"/>
    <w:rsid w:val="004E1E4F"/>
    <w:rsid w:val="004E4008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6B30"/>
    <w:rsid w:val="00610BDE"/>
    <w:rsid w:val="006144FF"/>
    <w:rsid w:val="0062754A"/>
    <w:rsid w:val="00631A63"/>
    <w:rsid w:val="00642F39"/>
    <w:rsid w:val="006446BB"/>
    <w:rsid w:val="00647C43"/>
    <w:rsid w:val="006512E5"/>
    <w:rsid w:val="00663DD9"/>
    <w:rsid w:val="00675FDC"/>
    <w:rsid w:val="0067651D"/>
    <w:rsid w:val="00695B7E"/>
    <w:rsid w:val="00697604"/>
    <w:rsid w:val="006A45D4"/>
    <w:rsid w:val="006C13F3"/>
    <w:rsid w:val="006C175A"/>
    <w:rsid w:val="006C423F"/>
    <w:rsid w:val="006E48BD"/>
    <w:rsid w:val="006F19B6"/>
    <w:rsid w:val="007005FA"/>
    <w:rsid w:val="007023CE"/>
    <w:rsid w:val="0071732C"/>
    <w:rsid w:val="00733477"/>
    <w:rsid w:val="00736D36"/>
    <w:rsid w:val="00740015"/>
    <w:rsid w:val="0074049D"/>
    <w:rsid w:val="00741A4B"/>
    <w:rsid w:val="00753B5A"/>
    <w:rsid w:val="00761E02"/>
    <w:rsid w:val="007639C2"/>
    <w:rsid w:val="00765F7F"/>
    <w:rsid w:val="007A533B"/>
    <w:rsid w:val="007B5FE2"/>
    <w:rsid w:val="007C5C08"/>
    <w:rsid w:val="007D5275"/>
    <w:rsid w:val="007E58D3"/>
    <w:rsid w:val="007E6AC1"/>
    <w:rsid w:val="008029CE"/>
    <w:rsid w:val="00804873"/>
    <w:rsid w:val="00812BCA"/>
    <w:rsid w:val="00814C32"/>
    <w:rsid w:val="00814EB2"/>
    <w:rsid w:val="0084206C"/>
    <w:rsid w:val="00850B75"/>
    <w:rsid w:val="00860CE3"/>
    <w:rsid w:val="00864014"/>
    <w:rsid w:val="008705EC"/>
    <w:rsid w:val="00876A78"/>
    <w:rsid w:val="00897008"/>
    <w:rsid w:val="008B4B8F"/>
    <w:rsid w:val="008B6A6C"/>
    <w:rsid w:val="008C5636"/>
    <w:rsid w:val="008D2508"/>
    <w:rsid w:val="008E1B87"/>
    <w:rsid w:val="008F1785"/>
    <w:rsid w:val="009000FE"/>
    <w:rsid w:val="009066E7"/>
    <w:rsid w:val="009104F6"/>
    <w:rsid w:val="009157A6"/>
    <w:rsid w:val="0092571C"/>
    <w:rsid w:val="00952EDA"/>
    <w:rsid w:val="0096017E"/>
    <w:rsid w:val="0097028A"/>
    <w:rsid w:val="009751C3"/>
    <w:rsid w:val="00977AF1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E1C2E"/>
    <w:rsid w:val="009E33A7"/>
    <w:rsid w:val="00A13116"/>
    <w:rsid w:val="00A225EC"/>
    <w:rsid w:val="00A41B7A"/>
    <w:rsid w:val="00A46C65"/>
    <w:rsid w:val="00A47921"/>
    <w:rsid w:val="00A623C6"/>
    <w:rsid w:val="00A739F6"/>
    <w:rsid w:val="00A802DF"/>
    <w:rsid w:val="00A814AF"/>
    <w:rsid w:val="00A8193D"/>
    <w:rsid w:val="00AB3C72"/>
    <w:rsid w:val="00AC32E5"/>
    <w:rsid w:val="00AD46C0"/>
    <w:rsid w:val="00AE4E2E"/>
    <w:rsid w:val="00AE6EC1"/>
    <w:rsid w:val="00AF0A57"/>
    <w:rsid w:val="00AF0C95"/>
    <w:rsid w:val="00B21D7F"/>
    <w:rsid w:val="00B235D9"/>
    <w:rsid w:val="00B23ADB"/>
    <w:rsid w:val="00B30FFB"/>
    <w:rsid w:val="00B32973"/>
    <w:rsid w:val="00B337B2"/>
    <w:rsid w:val="00B42B47"/>
    <w:rsid w:val="00B47501"/>
    <w:rsid w:val="00B61A6D"/>
    <w:rsid w:val="00B73EEE"/>
    <w:rsid w:val="00B82401"/>
    <w:rsid w:val="00B860C5"/>
    <w:rsid w:val="00B9652D"/>
    <w:rsid w:val="00BA4A6F"/>
    <w:rsid w:val="00BC5739"/>
    <w:rsid w:val="00BD155B"/>
    <w:rsid w:val="00BD1EB6"/>
    <w:rsid w:val="00BD7B66"/>
    <w:rsid w:val="00BE0265"/>
    <w:rsid w:val="00BE08F8"/>
    <w:rsid w:val="00BF32F2"/>
    <w:rsid w:val="00C01705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5A0F"/>
    <w:rsid w:val="00C76AAA"/>
    <w:rsid w:val="00C84083"/>
    <w:rsid w:val="00C84D84"/>
    <w:rsid w:val="00C86AFB"/>
    <w:rsid w:val="00C956FA"/>
    <w:rsid w:val="00CA665B"/>
    <w:rsid w:val="00CC6D76"/>
    <w:rsid w:val="00CE2A4F"/>
    <w:rsid w:val="00D01592"/>
    <w:rsid w:val="00D03C78"/>
    <w:rsid w:val="00D04AFA"/>
    <w:rsid w:val="00D10D01"/>
    <w:rsid w:val="00D1242F"/>
    <w:rsid w:val="00D2055F"/>
    <w:rsid w:val="00D47617"/>
    <w:rsid w:val="00D564BC"/>
    <w:rsid w:val="00D62B6E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302F1"/>
    <w:rsid w:val="00E310E0"/>
    <w:rsid w:val="00E339FF"/>
    <w:rsid w:val="00E35FF6"/>
    <w:rsid w:val="00E3704C"/>
    <w:rsid w:val="00E541A0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F249DB"/>
    <w:rsid w:val="00F348FB"/>
    <w:rsid w:val="00F57411"/>
    <w:rsid w:val="00F75513"/>
    <w:rsid w:val="00F757C4"/>
    <w:rsid w:val="00F848A1"/>
    <w:rsid w:val="00F97677"/>
    <w:rsid w:val="00FA3253"/>
    <w:rsid w:val="00FB388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paragraph" w:customStyle="1" w:styleId="Default">
    <w:name w:val="Default"/>
    <w:rsid w:val="00BC573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3629E-195E-4E87-9573-B44F6D67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Radek Moulis</cp:lastModifiedBy>
  <cp:revision>3</cp:revision>
  <cp:lastPrinted>2018-03-01T09:19:00Z</cp:lastPrinted>
  <dcterms:created xsi:type="dcterms:W3CDTF">2021-08-27T06:09:00Z</dcterms:created>
  <dcterms:modified xsi:type="dcterms:W3CDTF">2021-09-13T11:27:00Z</dcterms:modified>
</cp:coreProperties>
</file>